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5E6" w:rsidRPr="00D055E6" w:rsidRDefault="00D055E6" w:rsidP="00D055E6">
      <w:pPr>
        <w:tabs>
          <w:tab w:val="left" w:pos="993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55E6">
        <w:rPr>
          <w:rFonts w:ascii="Times New Roman" w:eastAsia="Times New Roman" w:hAnsi="Times New Roman" w:cs="Times New Roman"/>
          <w:b/>
          <w:sz w:val="24"/>
          <w:szCs w:val="24"/>
        </w:rPr>
        <w:t>Приложение № 1</w:t>
      </w:r>
    </w:p>
    <w:p w:rsidR="00D055E6" w:rsidRPr="00D055E6" w:rsidRDefault="00D055E6" w:rsidP="00D055E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5E6" w:rsidRPr="00D055E6" w:rsidRDefault="00D055E6" w:rsidP="00D055E6">
      <w:pPr>
        <w:tabs>
          <w:tab w:val="left" w:pos="99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55E6">
        <w:rPr>
          <w:rFonts w:ascii="Times New Roman" w:eastAsia="Times New Roman" w:hAnsi="Times New Roman" w:cs="Times New Roman"/>
          <w:b/>
          <w:sz w:val="24"/>
          <w:szCs w:val="24"/>
        </w:rPr>
        <w:t>ТЕХНИЧЕСК</w:t>
      </w:r>
      <w:r w:rsidR="006D0DDF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D055E6">
        <w:rPr>
          <w:rFonts w:ascii="Times New Roman" w:eastAsia="Times New Roman" w:hAnsi="Times New Roman" w:cs="Times New Roman"/>
          <w:b/>
          <w:sz w:val="24"/>
          <w:szCs w:val="24"/>
        </w:rPr>
        <w:t xml:space="preserve"> СПЕЦИФИКАЦИЯ</w:t>
      </w:r>
    </w:p>
    <w:p w:rsidR="00D055E6" w:rsidRPr="00D055E6" w:rsidRDefault="00D055E6" w:rsidP="00D05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055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Настоящият документ представлява „технически спецификации“ по смисъла на § 2, т.54 от ДР на ЗОП в който се определят изискванията на възложителя относно техническите предписания, определящи изискваните характеристики на материалите, работни характеристики, безопасност или размери, включително процедурите относно</w:t>
      </w:r>
    </w:p>
    <w:p w:rsidR="00D055E6" w:rsidRPr="00D055E6" w:rsidRDefault="00D055E6" w:rsidP="00D05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055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осигуряването на качеството, инспекция и приемане на строителство и методи или</w:t>
      </w:r>
    </w:p>
    <w:p w:rsidR="00FC143C" w:rsidRDefault="00D055E6" w:rsidP="00D055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055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технологии на строителство, както и всички други технически условия, които възложителят може да наложи съгласно общи или специални нормативни актове по отношение на завършено строителство и материалите или частите, включени в него</w:t>
      </w:r>
      <w:r w:rsidR="00FC14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D055E6" w:rsidRDefault="00FC143C" w:rsidP="00FC1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Настоящата обществена поръчка за строителство е с предмет</w:t>
      </w:r>
      <w:r w:rsidR="00D055E6" w:rsidRPr="00D844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D055E6" w:rsidRPr="00D84460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="00D055E6" w:rsidRPr="00D84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СМР на огради </w:t>
      </w:r>
      <w:r w:rsidR="006D0DDF" w:rsidRPr="00D84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на </w:t>
      </w:r>
      <w:r w:rsidRPr="00D84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обекти, общинска собст</w:t>
      </w:r>
      <w:r w:rsidR="002C5EE8" w:rsidRPr="00D84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в</w:t>
      </w:r>
      <w:r w:rsidRPr="00D84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еност</w:t>
      </w:r>
      <w:r w:rsidR="006D0DDF" w:rsidRPr="00D84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по обособени позиции“</w:t>
      </w:r>
      <w:r w:rsidRPr="00D844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:</w:t>
      </w:r>
    </w:p>
    <w:p w:rsidR="009571CF" w:rsidRDefault="00FC143C" w:rsidP="00FC1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FC1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Обособена позиция 1</w:t>
      </w:r>
      <w:r w:rsidR="004E7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(ОП1)</w:t>
      </w:r>
      <w:r w:rsidRPr="00FC1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„</w:t>
      </w:r>
      <w:r w:rsidRPr="00FC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Ремонт на ограда в имот</w:t>
      </w:r>
      <w:r w:rsidR="009571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bg-BG"/>
        </w:rPr>
        <w:t xml:space="preserve"> </w:t>
      </w:r>
      <w:r w:rsidR="009571CF" w:rsidRPr="004E715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 административен адрес гр. Добрич, ж.к. „Дружба 3“ №57</w:t>
      </w:r>
      <w:r w:rsidR="009571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”</w:t>
      </w:r>
    </w:p>
    <w:p w:rsidR="00FC143C" w:rsidRPr="00FC143C" w:rsidRDefault="00FC143C" w:rsidP="00FC1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Обособена позиция 2</w:t>
      </w:r>
      <w:r w:rsidR="004E7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 (ОП2)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: </w:t>
      </w:r>
      <w:r w:rsidRPr="00FC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>„Изграждане на ограда в гробищен парк Добрич“</w:t>
      </w:r>
    </w:p>
    <w:p w:rsidR="008E27AD" w:rsidRDefault="00D055E6" w:rsidP="00D05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055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Изпълнението на настоящата обществена поръчка ще доведе до избор на изпълнител, който ще представлява и защитава интересите на Възложителя през целия инвестиционен процес. ИЗПЪЛНИТЕЛЯТ ще бъде отговорен за изпълнението на всички изисквания на българското законодателство, свързани със строителните дейности в съответствие с техническите норми и изисквания на законодателството, свързано със строителството (основно ЗУТ и подзаконовите актове).</w:t>
      </w:r>
    </w:p>
    <w:p w:rsidR="00D055E6" w:rsidRDefault="00FC143C" w:rsidP="00FC1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В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случай че в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техническата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спецификация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или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в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друг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документ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от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документацията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за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участие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бъдат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посочвани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-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конкретен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модел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,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източник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,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процес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,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търговска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марка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,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патент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,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тип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,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произход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или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производство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,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да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се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чете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и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разбира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„и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/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или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B23E3F">
        <w:rPr>
          <w:rFonts w:ascii="Times New Roman" w:eastAsia="Times New Roman" w:hAnsi="Times New Roman" w:cs="Times New Roman" w:hint="eastAsia"/>
          <w:i/>
          <w:color w:val="000000"/>
          <w:sz w:val="24"/>
          <w:szCs w:val="24"/>
          <w:lang w:eastAsia="bg-BG"/>
        </w:rPr>
        <w:t>еквивалентно</w:t>
      </w:r>
      <w:r w:rsidRPr="00B23E3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!</w:t>
      </w:r>
    </w:p>
    <w:p w:rsidR="00B23E3F" w:rsidRPr="00B23E3F" w:rsidRDefault="00B23E3F" w:rsidP="00FC143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FC143C" w:rsidRPr="002C5EE8" w:rsidRDefault="002C5EE8" w:rsidP="002C5EE8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5EE8">
        <w:rPr>
          <w:rFonts w:ascii="Times New Roman" w:eastAsia="Times New Roman" w:hAnsi="Times New Roman" w:cs="Times New Roman"/>
          <w:b/>
          <w:sz w:val="24"/>
          <w:szCs w:val="24"/>
        </w:rPr>
        <w:t>ОБЩИ ПОЛОЖЕНИЯ</w:t>
      </w:r>
    </w:p>
    <w:p w:rsidR="002C5EE8" w:rsidRPr="002C5EE8" w:rsidRDefault="00ED4DA1" w:rsidP="002C5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1</w:t>
      </w:r>
      <w:r w:rsidR="002C5EE8" w:rsidRPr="002C5E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 Организиране на обекта</w:t>
      </w:r>
    </w:p>
    <w:p w:rsidR="002C5EE8" w:rsidRPr="002C5EE8" w:rsidRDefault="002C5EE8" w:rsidP="002C5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Изпълнителят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следва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осигури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необходимите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условия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работа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обекта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помещение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складиране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материалите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оборудването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Всички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материали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оборудване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следва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бъдат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складирани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място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без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достъп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външни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лица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2C5EE8" w:rsidRDefault="002C5EE8" w:rsidP="002C5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Изпълнителят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осигурява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необходимото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оборудване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инструменти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помощни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средства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извършване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строително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монтажните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работи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2C5EE8" w:rsidRDefault="002C5EE8" w:rsidP="002C5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Възложителя</w:t>
      </w:r>
      <w:r w:rsidR="004E6C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осигурява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4E6C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своя сметка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достъпа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Ел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Енергия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питейна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вода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отвеждане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отпадните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води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време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строително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ремонтните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дейности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2C5EE8" w:rsidRDefault="002C5EE8" w:rsidP="002C5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Организирането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работната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площадка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обекта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като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цяло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извършва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съгласно</w:t>
      </w:r>
    </w:p>
    <w:p w:rsidR="002C5EE8" w:rsidRPr="002C5EE8" w:rsidRDefault="002C5EE8" w:rsidP="002C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изискванията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безопасни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здравословни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условия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извършване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строително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-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монтажните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работи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2C5EE8" w:rsidRDefault="002C5EE8" w:rsidP="002C5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Организирането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работната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площадка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обекта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като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цяло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съгласува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между</w:t>
      </w:r>
    </w:p>
    <w:p w:rsidR="002C5EE8" w:rsidRPr="002C5EE8" w:rsidRDefault="002C5EE8" w:rsidP="002C5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изпълнителя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възложителя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2C5EE8" w:rsidRDefault="002C5EE8" w:rsidP="002C5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Всички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гореописани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мерки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препоръки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изисквания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базират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изискванията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2 от 22 март 2004 г. за минималните изисквания за здравословни и безопасни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условия на труд при извършване на строителни и монтажни работи.</w:t>
      </w:r>
    </w:p>
    <w:p w:rsidR="002C5EE8" w:rsidRPr="00ED4DA1" w:rsidRDefault="002C5EE8" w:rsidP="002C5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ED4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2. Съоръжения на обекта</w:t>
      </w:r>
    </w:p>
    <w:p w:rsidR="002C5EE8" w:rsidRPr="002C5EE8" w:rsidRDefault="002C5EE8" w:rsidP="00ED4D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Изпълнителят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ще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има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осигурен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достъп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електрозахранване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водоснабдяване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Възложителя</w:t>
      </w:r>
      <w:r w:rsid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т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ще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информира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изпълнителя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мястото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където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могъл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свърже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към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съответните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инсталации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ED4DA1" w:rsidRDefault="00ED4DA1" w:rsidP="002C5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ED4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3</w:t>
      </w:r>
      <w:r w:rsidR="002C5EE8" w:rsidRPr="00ED4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. </w:t>
      </w:r>
      <w:r w:rsidR="002C5EE8" w:rsidRPr="00ED4DA1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bg-BG"/>
        </w:rPr>
        <w:t>Условия</w:t>
      </w:r>
      <w:r w:rsidR="002C5EE8" w:rsidRPr="00ED4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2C5EE8" w:rsidRPr="00ED4DA1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bg-BG"/>
        </w:rPr>
        <w:t>за</w:t>
      </w:r>
      <w:r w:rsidR="002C5EE8" w:rsidRPr="00ED4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2C5EE8" w:rsidRPr="00ED4DA1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bg-BG"/>
        </w:rPr>
        <w:t>безопасност</w:t>
      </w:r>
      <w:r w:rsidR="002C5EE8" w:rsidRPr="00ED4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2C5EE8" w:rsidRPr="00ED4DA1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bg-BG"/>
        </w:rPr>
        <w:t>на</w:t>
      </w:r>
      <w:r w:rsidR="002C5EE8" w:rsidRPr="00ED4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2C5EE8" w:rsidRPr="00ED4DA1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bg-BG"/>
        </w:rPr>
        <w:t>труда</w:t>
      </w:r>
      <w:r w:rsidR="002C5EE8" w:rsidRPr="00ED4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2C5EE8" w:rsidRPr="00ED4DA1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bg-BG"/>
        </w:rPr>
        <w:t>и</w:t>
      </w:r>
      <w:r w:rsidR="002C5EE8" w:rsidRPr="00ED4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2C5EE8" w:rsidRPr="00ED4DA1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bg-BG"/>
        </w:rPr>
        <w:t>опазване</w:t>
      </w:r>
      <w:r w:rsidR="002C5EE8" w:rsidRPr="00ED4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2C5EE8" w:rsidRPr="00ED4DA1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bg-BG"/>
        </w:rPr>
        <w:t>на</w:t>
      </w:r>
      <w:r w:rsidR="002C5EE8" w:rsidRPr="00ED4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2C5EE8" w:rsidRPr="00ED4DA1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bg-BG"/>
        </w:rPr>
        <w:t>околната</w:t>
      </w:r>
      <w:r w:rsidR="002C5EE8" w:rsidRPr="00ED4D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2C5EE8" w:rsidRPr="00ED4DA1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bg-BG"/>
        </w:rPr>
        <w:t>среда</w:t>
      </w:r>
    </w:p>
    <w:p w:rsidR="002C5EE8" w:rsidRPr="002C5EE8" w:rsidRDefault="002C5EE8" w:rsidP="002C5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lastRenderedPageBreak/>
        <w:t>Изпълнителят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носи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отговорност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спазване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разпоредбите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безопасност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</w:p>
    <w:p w:rsidR="002C5EE8" w:rsidRPr="002C5EE8" w:rsidRDefault="002C5EE8" w:rsidP="003808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предприемане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всички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необходими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мерки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гарантиране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здравето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живота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целия</w:t>
      </w:r>
      <w:r w:rsid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персонал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работещ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площадката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/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площадките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рисковете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които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могат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случат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по</w:t>
      </w:r>
      <w:r w:rsid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време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изпълнение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строителните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работи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специално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той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гарантира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че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наети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само</w:t>
      </w:r>
      <w:r w:rsid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лица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които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подходящо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обучени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лица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служебните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им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задължения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Изпълнителят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е</w:t>
      </w:r>
      <w:r w:rsid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отговорен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гарантиране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сигурността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площадката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/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площадките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/,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защита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материалите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оборудването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2C5EE8" w:rsidRDefault="002C5EE8" w:rsidP="002C5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Изпълнителят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длъжен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сам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своя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сметка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осигурява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през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времетраенето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договора</w:t>
      </w:r>
      <w:r w:rsid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следното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2C5EE8" w:rsidRPr="00ED4DA1" w:rsidRDefault="002C5EE8" w:rsidP="00ED4DA1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Спазване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изискванията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Закона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здравословни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безопасни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условия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труда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/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ЗЗБУТ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сила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01.01.2005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г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условията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Наредба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№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22.03.2004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г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минималните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изисквания</w:t>
      </w:r>
      <w:r w:rsid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здравословни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безопасни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условия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труд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извършване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строителни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монтажни</w:t>
      </w:r>
      <w:r w:rsid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работи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ED4DA1" w:rsidRDefault="002C5EE8" w:rsidP="00ED4DA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57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застрахова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персонала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обекта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съгласно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Наредба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условията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реда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</w:p>
    <w:p w:rsidR="002C5EE8" w:rsidRPr="002C5EE8" w:rsidRDefault="002C5EE8" w:rsidP="00ED4D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задължително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застраховане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проектирането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строителството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съответствие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член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171,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ал</w:t>
      </w:r>
      <w:r w:rsid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.1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Закона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устройство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територията</w:t>
      </w:r>
      <w:r w:rsid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Доказателство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сключените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застраховки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представя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съгласно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Специфичните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условия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част</w:t>
      </w:r>
      <w:r w:rsid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документацията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възлагане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предмета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тази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обществена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поръчка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ED4DA1" w:rsidRDefault="002C5EE8" w:rsidP="00ED4DA1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осигури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нормални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условия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работа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работата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се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извършва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по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време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нормалните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работни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часове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изпълнението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трябва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не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нарушава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изискванията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Кодекса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труда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действащото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трудово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D4DA1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законодателство</w:t>
      </w:r>
      <w:r w:rsidRPr="00ED4DA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4E61C7" w:rsidRDefault="002C5EE8" w:rsidP="004E61C7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осигури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лицата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под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негов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контрол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обекта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нужните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лични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предпазни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средства</w:t>
      </w:r>
      <w:r w:rsid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облекло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средствата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оказване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първа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помощ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4E61C7" w:rsidRDefault="002C5EE8" w:rsidP="00F56440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При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технологично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изискване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определена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работа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се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извършва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определен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минимум</w:t>
      </w:r>
      <w:r w:rsid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брой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хора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Изпълнителят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трябва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осигури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изпълнение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E61C7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изискването</w:t>
      </w:r>
      <w:r w:rsidRPr="004E61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F56440" w:rsidRDefault="002C5EE8" w:rsidP="00F56440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носи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пълна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отговорност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разписването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актуализирането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инструктиране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персонал</w:t>
      </w:r>
      <w:r w:rsid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спазването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правилата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безопасност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съответствие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Наредба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№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2/22.03.2004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г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минималните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изисквания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здравословни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безопасни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условия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труд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</w:t>
      </w:r>
      <w:r w:rsid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извършване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строителни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монтажни</w:t>
      </w:r>
      <w:r w:rsidRP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работи</w:t>
      </w:r>
      <w:r w:rsid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2C5EE8" w:rsidRDefault="002C5EE8" w:rsidP="00F56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Безопасните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условия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труд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опазването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околната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среда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съответствие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чл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74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</w:t>
      </w:r>
      <w:r w:rsid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ЗУТ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Наредба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№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22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март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2004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г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минималните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изисквания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здравословни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безопасни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условия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труд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извършване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строителни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монтажни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работи</w:t>
      </w:r>
      <w:r w:rsid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2C5EE8" w:rsidRDefault="002C5EE8" w:rsidP="00F56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Изпълнителят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носи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пълна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отговорност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опазване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местата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работа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или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тяхна</w:t>
      </w:r>
      <w:r w:rsid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близост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като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например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замърсявания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или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щети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всякакъв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вид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2C5EE8" w:rsidRDefault="002C5EE8" w:rsidP="00F56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Отпадъците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трябва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бъдат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изхвърлени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съответствие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със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закона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депо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посочено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</w:t>
      </w:r>
      <w:r w:rsid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Общината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F56440" w:rsidRDefault="00F56440" w:rsidP="002C5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F564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4</w:t>
      </w:r>
      <w:r w:rsidR="002C5EE8" w:rsidRPr="00F564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</w:t>
      </w:r>
      <w:r w:rsidRPr="00F564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2C5EE8" w:rsidRPr="00F56440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bg-BG"/>
        </w:rPr>
        <w:t>Атмосферни</w:t>
      </w:r>
      <w:r w:rsidR="002C5EE8" w:rsidRPr="00F564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2C5EE8" w:rsidRPr="00F56440">
        <w:rPr>
          <w:rFonts w:ascii="Times New Roman" w:eastAsia="Times New Roman" w:hAnsi="Times New Roman" w:cs="Times New Roman" w:hint="eastAsia"/>
          <w:b/>
          <w:color w:val="000000"/>
          <w:sz w:val="24"/>
          <w:szCs w:val="24"/>
          <w:lang w:eastAsia="bg-BG"/>
        </w:rPr>
        <w:t>влияния</w:t>
      </w:r>
    </w:p>
    <w:p w:rsidR="002C5EE8" w:rsidRPr="002C5EE8" w:rsidRDefault="002C5EE8" w:rsidP="002C5E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Изпълнителят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трябва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изпълнява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дейностите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така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че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предотврати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повреди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2C5EE8" w:rsidRPr="002C5EE8" w:rsidRDefault="002C5EE8" w:rsidP="00F56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предизвикани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дъжд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мъгла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високи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или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ниски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температури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Изключват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форсмажорни</w:t>
      </w:r>
      <w:r w:rsid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събития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които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могат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повлияят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или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отчетат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предварително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изпълнителя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2C5EE8" w:rsidRDefault="002C5EE8" w:rsidP="00F56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Строителните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дейности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изпълнява</w:t>
      </w:r>
      <w:r w:rsidR="00F56440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правилна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последователност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завършен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етап</w:t>
      </w:r>
      <w:r w:rsid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предотвратяване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вредно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въздействие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или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повреди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атмосферни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влияния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2C5EE8" w:rsidRDefault="002C5EE8" w:rsidP="00F56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случай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очакване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неблагоприятни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атмосферни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влияния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условия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извършване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определени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видове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работи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същите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възможност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бъдат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прекъснати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или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осигури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защитена</w:t>
      </w:r>
      <w:r w:rsid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среда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за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довършването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им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2C5EE8" w:rsidRPr="002C5EE8" w:rsidRDefault="002C5EE8" w:rsidP="00F564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lastRenderedPageBreak/>
        <w:t>Изпълнителят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следва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регистрира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броя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работните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през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които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поради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лоши</w:t>
      </w:r>
      <w:r w:rsidR="00F564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атмосферни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условия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определени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дейностите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не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са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били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C5EE8">
        <w:rPr>
          <w:rFonts w:ascii="Times New Roman" w:eastAsia="Times New Roman" w:hAnsi="Times New Roman" w:cs="Times New Roman" w:hint="eastAsia"/>
          <w:color w:val="000000"/>
          <w:sz w:val="24"/>
          <w:szCs w:val="24"/>
          <w:lang w:eastAsia="bg-BG"/>
        </w:rPr>
        <w:t>изпълнени</w:t>
      </w:r>
      <w:r w:rsidRPr="002C5EE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B23E3F" w:rsidRDefault="00B23E3F" w:rsidP="00D05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D055E6" w:rsidRPr="00DC59AE" w:rsidRDefault="00DC59AE" w:rsidP="00D05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D055E6" w:rsidRPr="00377614">
        <w:rPr>
          <w:rFonts w:ascii="Times New Roman" w:eastAsia="Times New Roman" w:hAnsi="Times New Roman" w:cs="Times New Roman"/>
          <w:b/>
          <w:sz w:val="24"/>
          <w:szCs w:val="24"/>
        </w:rPr>
        <w:t xml:space="preserve">І.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 НА ОБЕКТИТЕ ПРЕДМЕТ НА ПОРЪЧКАТА</w:t>
      </w:r>
    </w:p>
    <w:p w:rsidR="00D055E6" w:rsidRPr="003808A6" w:rsidRDefault="00D055E6" w:rsidP="00D05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715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055E6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08A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Местоположение</w:t>
      </w:r>
    </w:p>
    <w:p w:rsidR="00D77D48" w:rsidRPr="004E7151" w:rsidRDefault="004E7151" w:rsidP="00D05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71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ОП1:</w:t>
      </w:r>
      <w:r w:rsidRPr="004E715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77D48" w:rsidRPr="004E715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Ремонтът, предмет на настоящата обществена поръчка е с административен адрес гр. Добрич, ж.к. „Дружба 3“ №57, идентификатор 72624.620.22 по КК, УПИ </w:t>
      </w:r>
      <w:r w:rsidR="00D77D48" w:rsidRPr="004E715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IV</w:t>
      </w:r>
      <w:r w:rsidR="00D77D48" w:rsidRPr="004E715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кв.8 по ПУП-ПРЗ на град Добрич. В него са разположени сгради, които се помещават от Център за настаняване от семеен тип за деца без увреждания, Център за обществена подкрепа и Преходно жилище.</w:t>
      </w:r>
    </w:p>
    <w:p w:rsidR="004E7151" w:rsidRDefault="004E7151" w:rsidP="00D055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E71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ОП2</w:t>
      </w:r>
      <w:r w:rsidRPr="004E715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Изграждането на ограда ще се реализира в гробищен парк Добрич, находящ се в гр. Добрич, ПИ с идентификатор 72624.436.444.</w:t>
      </w:r>
    </w:p>
    <w:p w:rsidR="00D77D48" w:rsidRPr="003808A6" w:rsidRDefault="003808A6" w:rsidP="003808A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Дейности, свързани с предмета на поръчката</w:t>
      </w:r>
    </w:p>
    <w:p w:rsidR="00D77D48" w:rsidRPr="00D77D48" w:rsidRDefault="003808A6" w:rsidP="00D77D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</w:t>
      </w:r>
      <w:r w:rsidR="00D77D48" w:rsidRPr="00D77D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.1. Извършване на строително-ремонтни работи с цел достигане на  нормална експлоатац</w:t>
      </w:r>
      <w:r w:rsidR="00D77D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ия и добро техническо състояние</w:t>
      </w:r>
      <w:r w:rsidR="00D77D48" w:rsidRPr="00D77D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съществуващи сгради, обекти, съоръжения и прилежащи към тях терени след изрично възлагане от Възложителя и в рамките на определените прогнозни средства в съответствие с действащите нормативни актове и техническите спецификации за строителни продукти.</w:t>
      </w:r>
    </w:p>
    <w:p w:rsidR="00D77D48" w:rsidRPr="00D77D48" w:rsidRDefault="003808A6" w:rsidP="00D77D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</w:t>
      </w:r>
      <w:r w:rsidR="00D77D48" w:rsidRPr="00D77D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.2. Доставка и влагане на необходимите строителни материали и продукти в съотве</w:t>
      </w:r>
      <w:r w:rsidR="00EC1EE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тст</w:t>
      </w:r>
      <w:r w:rsidR="00D77D48" w:rsidRPr="00D77D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вие на наредбата за съществените изисквания към строежите и оценяване съответствието на строителните продукти.</w:t>
      </w:r>
    </w:p>
    <w:p w:rsidR="00D77D48" w:rsidRPr="00D77D48" w:rsidRDefault="003808A6" w:rsidP="00D77D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</w:t>
      </w:r>
      <w:r w:rsidR="00D77D48" w:rsidRPr="00D77D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.3. Отстраняване на проявени дефекти през гаранционните срокове, определени с договора за възлагане на обществената поръчка.</w:t>
      </w:r>
    </w:p>
    <w:p w:rsidR="00D77D48" w:rsidRPr="00D77D48" w:rsidRDefault="003808A6" w:rsidP="00D77D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="00D77D48" w:rsidRPr="00D77D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При осъществяване дейностите по предмета на поръчката следва да се спазват приложимите за обекта на обществената поръчка изисквания на:</w:t>
      </w:r>
    </w:p>
    <w:p w:rsidR="00D77D48" w:rsidRPr="00D77D48" w:rsidRDefault="00D77D48" w:rsidP="00D77D4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77D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устройство на територията;</w:t>
      </w:r>
    </w:p>
    <w:p w:rsidR="00D77D48" w:rsidRPr="00D77D48" w:rsidRDefault="00D77D48" w:rsidP="00D77D4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77D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Закон за здравословни и безопасни условия на труд;</w:t>
      </w:r>
    </w:p>
    <w:p w:rsidR="00D77D48" w:rsidRPr="00D77D48" w:rsidRDefault="00D77D48" w:rsidP="00D77D4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77D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№2 за минималните изисквания за здравословни и безопасни условия на труд при извършване на СМР;</w:t>
      </w:r>
    </w:p>
    <w:p w:rsidR="00D77D48" w:rsidRPr="00D77D48" w:rsidRDefault="00D77D48" w:rsidP="00D77D4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77D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№7 за минималните изисквания за здравословни и безопасни условия на труд на работните места при използване на работното оборудване;</w:t>
      </w:r>
    </w:p>
    <w:p w:rsidR="00D77D48" w:rsidRPr="00D77D48" w:rsidRDefault="00D77D48" w:rsidP="00D77D4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77D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№3 за инструктажа на работниците и служителите по безопасност, хигиена на труда и противопожарна охрана;</w:t>
      </w:r>
    </w:p>
    <w:p w:rsidR="00D77D48" w:rsidRPr="00D77D48" w:rsidRDefault="00D77D48" w:rsidP="00D77D4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77D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№4 за знаците и сигналите за безопасността на труда и противопожарна охрана;</w:t>
      </w:r>
    </w:p>
    <w:p w:rsidR="00D77D48" w:rsidRPr="00D77D48" w:rsidRDefault="00D77D48" w:rsidP="00D77D4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77D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№5 за реда, начина и периодичността на извършване на оценка на риска;</w:t>
      </w:r>
    </w:p>
    <w:p w:rsidR="00795267" w:rsidRPr="00795267" w:rsidRDefault="00D77D48" w:rsidP="007952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77D4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за управление на строителните отпадъци и за влагане на рециклирани строителни материали</w:t>
      </w:r>
      <w:r w:rsidR="0079526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795267" w:rsidRPr="00795267" w:rsidRDefault="00795267" w:rsidP="007952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5267">
        <w:rPr>
          <w:rFonts w:ascii="Times New Roman" w:hAnsi="Times New Roman" w:cs="Times New Roman"/>
          <w:color w:val="000000"/>
          <w:sz w:val="24"/>
          <w:szCs w:val="24"/>
        </w:rPr>
        <w:t xml:space="preserve">Закон за техническите изисквания към продуктите и Наредба за съществените изисквания и оценяване на съответствието на строителните продукти. </w:t>
      </w:r>
    </w:p>
    <w:p w:rsidR="00795267" w:rsidRPr="00795267" w:rsidRDefault="00795267" w:rsidP="0079526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5267">
        <w:rPr>
          <w:rFonts w:ascii="Times New Roman" w:hAnsi="Times New Roman" w:cs="Times New Roman"/>
          <w:color w:val="000000"/>
          <w:sz w:val="24"/>
          <w:szCs w:val="24"/>
        </w:rPr>
        <w:t xml:space="preserve">При настъпване на промени в нормативната уредба по време на изпълнение на задачата – предмет на настоящото задание, същите следва да бъдат съобразени от Изпълнителя. </w:t>
      </w:r>
    </w:p>
    <w:p w:rsidR="00D77D48" w:rsidRPr="00D77D48" w:rsidRDefault="00D77D48" w:rsidP="00795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D77D48" w:rsidRDefault="003808A6" w:rsidP="00D77D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4. Цел на предмета на поръчката</w:t>
      </w:r>
    </w:p>
    <w:p w:rsidR="003808A6" w:rsidRPr="0029052D" w:rsidRDefault="003808A6" w:rsidP="00D77D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настоящата поръчка е предвиден ремонт на съществуваща ограда за Обособена позиция 1 и изграждане на ограда за обособена позиция 2. С тези дейности ще бъде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ефективно ограничен безконтролния достъп до имотите и ще бъде намален рискът от вандализъм и други не</w:t>
      </w:r>
      <w:r w:rsidR="006674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желани деяния от недобронамерени лица.</w:t>
      </w:r>
    </w:p>
    <w:p w:rsidR="0029052D" w:rsidRPr="006674C9" w:rsidRDefault="0029052D" w:rsidP="006674C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674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Описание на предмета на поръчката</w:t>
      </w:r>
    </w:p>
    <w:p w:rsidR="0029052D" w:rsidRPr="006674C9" w:rsidRDefault="006674C9" w:rsidP="0017556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674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Обособена позиция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29052D" w:rsidRPr="006674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Предмет на настоящата обществена поръчка е </w:t>
      </w:r>
      <w:r w:rsidR="009571CF" w:rsidRPr="00957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„Ремонт на ограда в имот</w:t>
      </w:r>
      <w:r w:rsidR="009571CF" w:rsidRPr="00957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 xml:space="preserve"> </w:t>
      </w:r>
      <w:r w:rsidR="009571CF" w:rsidRPr="009571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 административен адрес гр. Добрич, ж.к. „Дружба 3“ №57</w:t>
      </w:r>
      <w:r w:rsidR="009571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”</w:t>
      </w:r>
      <w:r w:rsidR="0029052D" w:rsidRPr="006674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идентификатор 72624.620.22 по КК, УПИ </w:t>
      </w:r>
      <w:r w:rsidR="0029052D" w:rsidRPr="006674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IV</w:t>
      </w:r>
      <w:r w:rsidR="0029052D" w:rsidRPr="006674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кв.8 по ПУП-ПРЗ на град Добрич</w:t>
      </w:r>
      <w:r w:rsidR="0029052D" w:rsidRPr="006674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</w:t>
      </w:r>
    </w:p>
    <w:p w:rsidR="0029052D" w:rsidRDefault="00387EFD" w:rsidP="001755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Съществуващата ограда към прилежащия терен се състои от плътна и ажурна части. </w:t>
      </w:r>
      <w:r w:rsidRPr="003A5B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Плътната част представлява бетонна стена с височина до 80см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спрямо прилежащия терен, оформена стъпаловидно по наклона на терена. Върху стената са монтирани метални декоративни пана (ажурна час</w:t>
      </w:r>
      <w:r w:rsidR="003A5B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т) със средна височина около 1м., като не цялата част от имота е оградена с ажурна част.</w:t>
      </w:r>
    </w:p>
    <w:p w:rsidR="003A5B8E" w:rsidRDefault="003A5B8E" w:rsidP="0029052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</w:t>
      </w:r>
      <w:r w:rsidR="004E6C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щата дължина на оградата е 407м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разположена както следва: по западната стран</w:t>
      </w:r>
      <w:r w:rsidR="004E6C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84м.л., по южната страна 97м., по източната 125м и по северната 101м. По южната (97м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 и ч</w:t>
      </w:r>
      <w:r w:rsidR="004E6C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аст от западната част (32,1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 w:rsidR="005E1A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оградата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няма </w:t>
      </w:r>
      <w:r w:rsidR="005E1A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съществуващи метални пана, което позволява неконтролиран достъп на външни лица. В общата дължина влизат 2 входни портала и </w:t>
      </w:r>
      <w:r w:rsidR="004E6C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 портална врата с отвори 3,80м</w:t>
      </w:r>
      <w:r w:rsidR="005E1A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4,90м и 1,20м. </w:t>
      </w:r>
      <w:r w:rsidR="004E6C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Входни п</w:t>
      </w:r>
      <w:r w:rsidR="005E1A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ортални врати в настоящия момент липсват, поради което се налага монти</w:t>
      </w:r>
      <w:r w:rsidR="00CD38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</w:t>
      </w:r>
      <w:r w:rsidR="005E1A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ане на нови такива.</w:t>
      </w:r>
    </w:p>
    <w:p w:rsidR="005E1ACD" w:rsidRDefault="005E1ACD" w:rsidP="0029052D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ремонта на оградата се предвижда подмяна на съществуващите метални декоративни пана с нови, метални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оградни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пана с височина </w:t>
      </w:r>
      <w:r w:rsidRPr="00EB6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2м.,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нови портални врати </w:t>
      </w:r>
      <w:r w:rsid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 височина 2м, с ширина 3,80м, 4,90м, 1,20м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 направа на бетонов подход за автомобили на северния портал</w:t>
      </w:r>
      <w:r w:rsid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около 15кв.м.</w:t>
      </w:r>
    </w:p>
    <w:p w:rsidR="006C3B7F" w:rsidRDefault="006674C9" w:rsidP="006C3B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674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 xml:space="preserve">Обособена позиция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2</w:t>
      </w:r>
      <w:r w:rsidRPr="006674C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6674C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Предмет на настоящата обществена поръчка 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B63B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„Изграждане на ограда в гробищен парк Добрич“</w:t>
      </w:r>
      <w:r w:rsidR="006C3B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, </w:t>
      </w:r>
      <w:r w:rsidR="006C3B7F" w:rsidRPr="004E715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находящ се в гр. Добрич, ПИ с идентификатор 72624.436.444.</w:t>
      </w:r>
    </w:p>
    <w:p w:rsidR="006674C9" w:rsidRDefault="00266207" w:rsidP="0026620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Имотът, предназначен и използван за гробищен парк е частично ограден, но съгласно изискванията на Наредба №2 от 2011г. за здравните изисквания към гробищните паркове (гробища) и погребването и пренасянето на покойници следва да бъде оградена с ограда.</w:t>
      </w:r>
    </w:p>
    <w:p w:rsidR="00266207" w:rsidRPr="00CD3809" w:rsidRDefault="00266207" w:rsidP="00266207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Настоящата обществена поръчка</w:t>
      </w:r>
      <w:r w:rsidR="004E6C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предвижда изграждане на 200м ограда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бетонови колове и плетена мрежа</w:t>
      </w:r>
      <w:r w:rsidR="00235B7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височина 180см.</w:t>
      </w:r>
    </w:p>
    <w:p w:rsidR="003941A4" w:rsidRDefault="003941A4" w:rsidP="003941A4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052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941A4" w:rsidRPr="0029052D" w:rsidRDefault="003941A4" w:rsidP="003941A4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9052D">
        <w:rPr>
          <w:rFonts w:ascii="Times New Roman" w:eastAsia="Times New Roman" w:hAnsi="Times New Roman" w:cs="Times New Roman"/>
          <w:b/>
          <w:sz w:val="24"/>
          <w:szCs w:val="24"/>
        </w:rPr>
        <w:t xml:space="preserve">III.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ИЗИСКВАНИЯ КЪМ ИЗПЪЛНЕНИЕТО НА СМР</w:t>
      </w:r>
    </w:p>
    <w:p w:rsidR="000A2D86" w:rsidRPr="000A2D86" w:rsidRDefault="000A2D86" w:rsidP="000A2D8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0A2D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Изисквания към изпълнението на СМР по Обособена позиция 1</w:t>
      </w:r>
    </w:p>
    <w:p w:rsidR="003941A4" w:rsidRPr="000A2D86" w:rsidRDefault="003941A4" w:rsidP="00235B7E">
      <w:pPr>
        <w:autoSpaceDE w:val="0"/>
        <w:autoSpaceDN w:val="0"/>
        <w:adjustRightInd w:val="0"/>
        <w:spacing w:after="0" w:line="240" w:lineRule="auto"/>
        <w:ind w:left="708"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2D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Дейностите по подмяна на </w:t>
      </w:r>
      <w:proofErr w:type="spellStart"/>
      <w:r w:rsidRPr="000A2D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оградните</w:t>
      </w:r>
      <w:proofErr w:type="spellEnd"/>
      <w:r w:rsidRPr="000A2D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пана и врати включват следните предпоставки и задължителни параметри: </w:t>
      </w:r>
    </w:p>
    <w:p w:rsidR="003941A4" w:rsidRPr="001C51CE" w:rsidRDefault="003941A4" w:rsidP="001C51C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Премахване на съществу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ващите декоративни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оградни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пана;</w:t>
      </w:r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3941A4" w:rsidRPr="00EB6F30" w:rsidRDefault="003941A4" w:rsidP="003941A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Премахване на съществуващ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B6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портални врата -1,2м широка;</w:t>
      </w:r>
    </w:p>
    <w:p w:rsidR="003941A4" w:rsidRPr="003941A4" w:rsidRDefault="003941A4" w:rsidP="003941A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proofErr w:type="spellStart"/>
      <w:r w:rsidRPr="00EB6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Оградните</w:t>
      </w:r>
      <w:proofErr w:type="spellEnd"/>
      <w:r w:rsidRPr="00EB6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стълбове се монтират през максимум 2,5 м, </w:t>
      </w:r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посредством </w:t>
      </w:r>
      <w:proofErr w:type="spellStart"/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анкериране</w:t>
      </w:r>
      <w:proofErr w:type="spellEnd"/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базовите планки на стълбовете към съществуващата основа. Базовите планки за закрепени за стълбовете посредством заваръчни шев, с размери минимум 200/200/8 мм, с 4 отвора за анкери, с </w:t>
      </w:r>
      <w:proofErr w:type="spellStart"/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осово</w:t>
      </w:r>
      <w:proofErr w:type="spellEnd"/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разстояни</w:t>
      </w:r>
      <w:r w:rsidR="004E6C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 между отворите за анкери минимум </w:t>
      </w:r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100 мм или макс</w:t>
      </w:r>
      <w:r w:rsidR="004E6C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имум</w:t>
      </w:r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150 мм във всяка посока, като задължително се осигурява отстояние на анкерите минимум 50 мм от ръба на бетона и минимум 25мм от ръба на планката. Стълбовете да се монтират с 4 механични анкера минимум М10, </w:t>
      </w:r>
      <w:proofErr w:type="spellStart"/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комплектовани</w:t>
      </w:r>
      <w:proofErr w:type="spellEnd"/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шайби, поцинковани</w:t>
      </w:r>
      <w:r w:rsidR="00EB6F3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</w:p>
    <w:p w:rsidR="003941A4" w:rsidRPr="003941A4" w:rsidRDefault="003941A4" w:rsidP="003941A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Всички елементи – стълбове, планки, ажурни пана, проходни отвори и заваръчни шевове да са осигурени срещу корозия за период от минимум 5 </w:t>
      </w:r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години, считано от датата на приемане на обекта, посредством подходящи покрития . </w:t>
      </w:r>
    </w:p>
    <w:p w:rsidR="003941A4" w:rsidRPr="003941A4" w:rsidRDefault="003941A4" w:rsidP="003941A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Стълбовете да се изпълнят от стоманени профили с размери 50/50/2 мм (или 60/40/2 мм, като в този случай големия размер на профила се ориентира перпендикулярно на паната), с дължина от 2,0 до 2,5 м. На местата на „скоковете” на бетоновата основа задължително се монтира колонка (стълб). Между стълбовете се монтират готови пана от телена мрежа с дебелина 4 мм. </w:t>
      </w:r>
    </w:p>
    <w:p w:rsidR="003941A4" w:rsidRPr="003941A4" w:rsidRDefault="003941A4" w:rsidP="003941A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всички </w:t>
      </w:r>
      <w:proofErr w:type="spellStart"/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оградни</w:t>
      </w:r>
      <w:proofErr w:type="spellEnd"/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стълбове да се монтират заварени стоманени планки. </w:t>
      </w:r>
    </w:p>
    <w:p w:rsidR="003941A4" w:rsidRPr="003941A4" w:rsidRDefault="003941A4" w:rsidP="003941A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Всички </w:t>
      </w:r>
      <w:proofErr w:type="spellStart"/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оградни</w:t>
      </w:r>
      <w:proofErr w:type="spellEnd"/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пана да са трайно прикрепени към стълбовете чрез стоманени крепежни елементи (планки, скоби, болтове </w:t>
      </w:r>
      <w:proofErr w:type="spellStart"/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комплектовани</w:t>
      </w:r>
      <w:proofErr w:type="spellEnd"/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шайби и гайки). </w:t>
      </w:r>
    </w:p>
    <w:p w:rsidR="003941A4" w:rsidRPr="003941A4" w:rsidRDefault="003941A4" w:rsidP="003941A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порталните врати (крила с тегло до 50 кг/м²), колоните трябва да са с минимално сечение 60/60/4 мм, запънати в бетонов фундамент. Фундаментът да е с размери в план 100/100 см, височина 80 см (вкопан минимум 80 см). Да не се допуска контакт между стоманен елемент и почва. Колоните и паната да са осигурени за деформации, и да осигуряват нормалното функциониране на вратите. </w:t>
      </w:r>
    </w:p>
    <w:p w:rsidR="003941A4" w:rsidRPr="003941A4" w:rsidRDefault="003941A4" w:rsidP="003941A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Рамките за крилата на вратите да се изготвят от стоманени профили със сечение минимум 30/30/2 мм, с диагонали от същия профил. </w:t>
      </w:r>
    </w:p>
    <w:p w:rsidR="003941A4" w:rsidRPr="003941A4" w:rsidRDefault="003941A4" w:rsidP="003941A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941A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всички врати да се предвидят и подходящи механизми и брави за заключване и отваряне. </w:t>
      </w:r>
    </w:p>
    <w:p w:rsidR="003941A4" w:rsidRPr="00994738" w:rsidRDefault="003941A4" w:rsidP="003941A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994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 изпълнението на всички врати (крила) да се вземе мярка от място. </w:t>
      </w:r>
    </w:p>
    <w:p w:rsidR="00EB6F30" w:rsidRDefault="00EB6F30" w:rsidP="003941A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941A4" w:rsidRDefault="00EB6F30" w:rsidP="003941A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Подход северен портал</w:t>
      </w:r>
    </w:p>
    <w:p w:rsidR="00C15013" w:rsidRDefault="00C15013" w:rsidP="003941A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Поради лошото състояние на подхода към северния портал е необходимо същия да се ремонтира, като се изпълнят необходимите земни работи и се положи основа за армираната настилка. Основата да се изпълни от 2</w:t>
      </w:r>
      <w:r w:rsidR="00994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пласта трошен камък. Първия с дебелина </w:t>
      </w:r>
      <w:r w:rsidR="003A345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10см и фракция 4-22мм, а вторият- 5см и фракция 0-5мм. След профилиране и уплътняване на основата да се положи армировъчна мрежа ф5 с отвор 15/15см и да се излее бетон В15 с дебелина 8см.</w:t>
      </w:r>
    </w:p>
    <w:p w:rsidR="000A2D86" w:rsidRPr="00235B7E" w:rsidRDefault="000A2D86" w:rsidP="000A2D8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bCs/>
          <w:iCs/>
        </w:rPr>
        <w:tab/>
      </w:r>
      <w:r w:rsidRPr="00235B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Изисквания към изпълнението на СМР по Обособена позиция 2</w:t>
      </w:r>
    </w:p>
    <w:p w:rsidR="00235B7E" w:rsidRPr="000A2D86" w:rsidRDefault="00235B7E" w:rsidP="00235B7E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A2D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Дейностите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изграждане на оградата</w:t>
      </w:r>
      <w:r w:rsidRPr="000A2D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включват следните предпоставки и задължителни параметри: </w:t>
      </w:r>
    </w:p>
    <w:p w:rsidR="00235B7E" w:rsidRDefault="00235B7E" w:rsidP="00235B7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Изкопават се дупк</w:t>
      </w:r>
      <w:r w:rsidR="009947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за фундаменти с размери 50/50см в план и дълбочина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70 см. през 2,5м.;</w:t>
      </w:r>
    </w:p>
    <w:p w:rsidR="00235B7E" w:rsidRDefault="00235B7E" w:rsidP="00235B7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Доставят се бетонни колове с размери 12/12/240см., полагат се в дупките,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отвесират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и се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замонолитват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бетон</w:t>
      </w:r>
      <w:r w:rsidR="00B14F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B14F02" w:rsidRPr="00B14F02" w:rsidRDefault="00B14F02" w:rsidP="00B14F0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Доставя се и се монтира поцинкована телена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оградна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мрежа с височина 180см, каре 45/45мм, Ф2,00мм;</w:t>
      </w:r>
    </w:p>
    <w:p w:rsidR="003A345C" w:rsidRPr="000A2D86" w:rsidRDefault="003A345C" w:rsidP="003A345C">
      <w:pPr>
        <w:pStyle w:val="Default"/>
        <w:rPr>
          <w:bCs/>
          <w:iCs/>
        </w:rPr>
      </w:pPr>
    </w:p>
    <w:p w:rsidR="00B769B0" w:rsidRPr="00B23E3F" w:rsidRDefault="003A345C" w:rsidP="005800BE">
      <w:pPr>
        <w:pStyle w:val="Default"/>
        <w:numPr>
          <w:ilvl w:val="0"/>
          <w:numId w:val="19"/>
        </w:numPr>
        <w:jc w:val="both"/>
        <w:rPr>
          <w:b/>
          <w:bCs/>
          <w:iCs/>
        </w:rPr>
      </w:pPr>
      <w:r w:rsidRPr="003A345C">
        <w:rPr>
          <w:b/>
          <w:bCs/>
          <w:iCs/>
        </w:rPr>
        <w:t xml:space="preserve">ПЛАН ЗА БЕЗОПАСНОСТ И ЗДРАВЕ </w:t>
      </w:r>
    </w:p>
    <w:p w:rsidR="003A345C" w:rsidRDefault="003A345C" w:rsidP="00795267">
      <w:pPr>
        <w:pStyle w:val="Default"/>
        <w:ind w:firstLine="708"/>
        <w:jc w:val="both"/>
        <w:rPr>
          <w:sz w:val="23"/>
          <w:szCs w:val="23"/>
        </w:rPr>
      </w:pPr>
      <w:r w:rsidRPr="003A345C">
        <w:t xml:space="preserve">Отговорността по спазването на </w:t>
      </w:r>
      <w:r w:rsidRPr="003A345C">
        <w:rPr>
          <w:i/>
          <w:iCs/>
        </w:rPr>
        <w:t xml:space="preserve">Наредба №2 от 22.03.2004г. за минималните изисквания за здравословни и безопасни условия на труд при извършване на строителни и монтажни работи </w:t>
      </w:r>
      <w:r w:rsidRPr="003A345C">
        <w:t>е на ИЗПЪЛНИТЕЛЯ</w:t>
      </w:r>
      <w:r>
        <w:rPr>
          <w:sz w:val="23"/>
          <w:szCs w:val="23"/>
        </w:rPr>
        <w:t xml:space="preserve">. </w:t>
      </w:r>
    </w:p>
    <w:p w:rsidR="00795267" w:rsidRDefault="00795267" w:rsidP="00795267">
      <w:pPr>
        <w:pStyle w:val="Default"/>
        <w:ind w:firstLine="708"/>
        <w:jc w:val="both"/>
        <w:rPr>
          <w:sz w:val="23"/>
          <w:szCs w:val="23"/>
        </w:rPr>
      </w:pPr>
    </w:p>
    <w:p w:rsidR="00B769B0" w:rsidRPr="00B23E3F" w:rsidRDefault="003A345C" w:rsidP="003A345C">
      <w:pPr>
        <w:pStyle w:val="Default"/>
        <w:numPr>
          <w:ilvl w:val="0"/>
          <w:numId w:val="19"/>
        </w:numPr>
        <w:rPr>
          <w:b/>
          <w:bCs/>
          <w:iCs/>
        </w:rPr>
      </w:pPr>
      <w:r w:rsidRPr="003A345C">
        <w:rPr>
          <w:b/>
          <w:bCs/>
          <w:iCs/>
        </w:rPr>
        <w:t xml:space="preserve">УПРАВЛЕНИЕ НА СТРОИТЕЛНИТЕ ОТПАДЪЦИ </w:t>
      </w:r>
    </w:p>
    <w:p w:rsidR="003A345C" w:rsidRPr="00FE52F6" w:rsidRDefault="003A345C" w:rsidP="00795267">
      <w:pPr>
        <w:pStyle w:val="Default"/>
        <w:ind w:firstLine="708"/>
        <w:jc w:val="both"/>
      </w:pPr>
      <w:r w:rsidRPr="00FE52F6">
        <w:t xml:space="preserve">Съгласно чл. 33, ал. 1 от Наредбата за поддържане и опазване на чистотата и управление на отпадъците, лицата при чиято дейност се образуват строителни отпадъци </w:t>
      </w:r>
      <w:r w:rsidRPr="00FE52F6">
        <w:lastRenderedPageBreak/>
        <w:t xml:space="preserve">и едро габаритни отпадъци (ЕГО), в резултат на строителна и ремонтна дейност, са длъжни да ги сортират по видове на мястото на образуването им. </w:t>
      </w:r>
    </w:p>
    <w:p w:rsidR="003A345C" w:rsidRPr="00FE52F6" w:rsidRDefault="003A345C" w:rsidP="00795267">
      <w:pPr>
        <w:pStyle w:val="Default"/>
        <w:ind w:firstLine="708"/>
        <w:jc w:val="both"/>
      </w:pPr>
      <w:r w:rsidRPr="00FE52F6">
        <w:t xml:space="preserve">Всички строителни отпадъци генерирани на територията на Община град Добрич се депонират на Регионално депо за отпадъци с. Стожер. </w:t>
      </w:r>
    </w:p>
    <w:p w:rsidR="003A345C" w:rsidRPr="00FE52F6" w:rsidRDefault="003A345C" w:rsidP="005800BE">
      <w:pPr>
        <w:pStyle w:val="Default"/>
        <w:jc w:val="both"/>
      </w:pPr>
      <w:r w:rsidRPr="00FE52F6">
        <w:t xml:space="preserve">За приемането на производствени, строителни и/или опасни отпадъци на РД Стожер е необходимо издаването на писмен документ /предписание/ от Кмета на Община град Добрич или упълномощено от него лице. </w:t>
      </w:r>
    </w:p>
    <w:p w:rsidR="003A345C" w:rsidRPr="005800BE" w:rsidRDefault="003A345C" w:rsidP="00795267">
      <w:pPr>
        <w:pStyle w:val="Default"/>
        <w:ind w:firstLine="708"/>
        <w:jc w:val="both"/>
      </w:pPr>
      <w:r w:rsidRPr="00FE52F6">
        <w:t xml:space="preserve">Управлението на строителните отпадъци е </w:t>
      </w:r>
      <w:r w:rsidRPr="00FE52F6">
        <w:rPr>
          <w:b/>
          <w:bCs/>
        </w:rPr>
        <w:t xml:space="preserve">задължение </w:t>
      </w:r>
      <w:r w:rsidRPr="00FE52F6">
        <w:t>на ИЗПЪЛНИТЕЛЯ.</w:t>
      </w:r>
      <w:r w:rsidRPr="005800BE">
        <w:t xml:space="preserve"> </w:t>
      </w:r>
    </w:p>
    <w:p w:rsidR="003A345C" w:rsidRDefault="003A345C" w:rsidP="003A345C">
      <w:pPr>
        <w:pStyle w:val="Default"/>
        <w:rPr>
          <w:b/>
          <w:bCs/>
          <w:i/>
          <w:iCs/>
          <w:sz w:val="23"/>
          <w:szCs w:val="23"/>
        </w:rPr>
      </w:pPr>
    </w:p>
    <w:p w:rsidR="00B769B0" w:rsidRPr="00B23E3F" w:rsidRDefault="003A345C" w:rsidP="003A345C">
      <w:pPr>
        <w:pStyle w:val="Default"/>
        <w:numPr>
          <w:ilvl w:val="0"/>
          <w:numId w:val="19"/>
        </w:numPr>
        <w:rPr>
          <w:b/>
          <w:bCs/>
          <w:iCs/>
        </w:rPr>
      </w:pPr>
      <w:r w:rsidRPr="003A345C">
        <w:rPr>
          <w:b/>
          <w:bCs/>
          <w:iCs/>
        </w:rPr>
        <w:t xml:space="preserve">ИЗПЪЛНЕНИЕ НА СМР </w:t>
      </w:r>
    </w:p>
    <w:p w:rsidR="003A345C" w:rsidRPr="005800BE" w:rsidRDefault="003A345C" w:rsidP="005800BE">
      <w:pPr>
        <w:pStyle w:val="Default"/>
        <w:spacing w:after="68"/>
        <w:jc w:val="both"/>
      </w:pPr>
      <w:r w:rsidRPr="005800BE">
        <w:rPr>
          <w:b/>
          <w:bCs/>
          <w:iCs/>
        </w:rPr>
        <w:t xml:space="preserve">1)  </w:t>
      </w:r>
      <w:r w:rsidRPr="005800BE">
        <w:t xml:space="preserve">Изпълнителят следва да извърши предвидените СМР по предмета на поръчката въз основа на Техническата спецификация. </w:t>
      </w:r>
    </w:p>
    <w:p w:rsidR="003A345C" w:rsidRPr="005800BE" w:rsidRDefault="003A345C" w:rsidP="005800BE">
      <w:pPr>
        <w:pStyle w:val="Default"/>
        <w:spacing w:after="68"/>
        <w:jc w:val="both"/>
      </w:pPr>
      <w:r w:rsidRPr="005800BE">
        <w:rPr>
          <w:b/>
          <w:bCs/>
          <w:iCs/>
        </w:rPr>
        <w:t xml:space="preserve">2) </w:t>
      </w:r>
      <w:r w:rsidRPr="005800BE">
        <w:t xml:space="preserve">Участниците да са направили предварителен оглед на обекта и да са се запознали със специфичните условия за изпълнение на поръчката. </w:t>
      </w:r>
    </w:p>
    <w:p w:rsidR="003A345C" w:rsidRPr="005800BE" w:rsidRDefault="003A345C" w:rsidP="005800BE">
      <w:pPr>
        <w:pStyle w:val="Default"/>
        <w:spacing w:after="68"/>
        <w:jc w:val="both"/>
      </w:pPr>
      <w:r w:rsidRPr="005800BE">
        <w:rPr>
          <w:b/>
          <w:bCs/>
          <w:iCs/>
        </w:rPr>
        <w:t xml:space="preserve">3) </w:t>
      </w:r>
      <w:r w:rsidRPr="005800BE">
        <w:t xml:space="preserve">Извършените СМР следва да са в съответствие с БДС, при спазване на действащите нормативни актове. </w:t>
      </w:r>
    </w:p>
    <w:p w:rsidR="003A345C" w:rsidRPr="005800BE" w:rsidRDefault="005800BE" w:rsidP="005800BE">
      <w:pPr>
        <w:pStyle w:val="Default"/>
        <w:spacing w:after="68"/>
        <w:jc w:val="both"/>
      </w:pPr>
      <w:r w:rsidRPr="005800BE">
        <w:rPr>
          <w:b/>
          <w:bCs/>
          <w:iCs/>
        </w:rPr>
        <w:t>4</w:t>
      </w:r>
      <w:r w:rsidR="003A345C" w:rsidRPr="005800BE">
        <w:rPr>
          <w:b/>
          <w:bCs/>
          <w:iCs/>
        </w:rPr>
        <w:t xml:space="preserve">) </w:t>
      </w:r>
      <w:r w:rsidR="003A345C" w:rsidRPr="005800BE">
        <w:t xml:space="preserve">Влаганите строителни материали трябва да бъдат с доказан произход, придружени с декларация за съответствие, с указания за прилагане на български език, съставени от производителя или от неговия упълномощен представител и да отговарят на БДС. </w:t>
      </w:r>
    </w:p>
    <w:p w:rsidR="003A345C" w:rsidRPr="005800BE" w:rsidRDefault="005800BE" w:rsidP="005800BE">
      <w:pPr>
        <w:pStyle w:val="Default"/>
        <w:spacing w:after="68"/>
        <w:jc w:val="both"/>
      </w:pPr>
      <w:r w:rsidRPr="005800BE">
        <w:rPr>
          <w:b/>
          <w:bCs/>
          <w:iCs/>
        </w:rPr>
        <w:t>5</w:t>
      </w:r>
      <w:r w:rsidR="003A345C" w:rsidRPr="005800BE">
        <w:rPr>
          <w:b/>
          <w:bCs/>
          <w:iCs/>
        </w:rPr>
        <w:t xml:space="preserve">) </w:t>
      </w:r>
      <w:r w:rsidR="003A345C" w:rsidRPr="005800BE">
        <w:t xml:space="preserve">Изпълнителят е длъжен да спазва действащата </w:t>
      </w:r>
      <w:r w:rsidR="003A345C" w:rsidRPr="005800BE">
        <w:rPr>
          <w:iCs/>
        </w:rPr>
        <w:t>НОРМАТИВНА УРЕДБА</w:t>
      </w:r>
      <w:r w:rsidR="003A345C" w:rsidRPr="005800BE">
        <w:t xml:space="preserve">. </w:t>
      </w:r>
    </w:p>
    <w:p w:rsidR="003A345C" w:rsidRPr="005800BE" w:rsidRDefault="005800BE" w:rsidP="005800BE">
      <w:pPr>
        <w:pStyle w:val="Default"/>
        <w:jc w:val="both"/>
      </w:pPr>
      <w:r w:rsidRPr="005800BE">
        <w:rPr>
          <w:b/>
          <w:bCs/>
          <w:iCs/>
        </w:rPr>
        <w:t>6</w:t>
      </w:r>
      <w:r w:rsidR="003A345C" w:rsidRPr="005800BE">
        <w:rPr>
          <w:b/>
          <w:bCs/>
          <w:iCs/>
        </w:rPr>
        <w:t xml:space="preserve">) </w:t>
      </w:r>
      <w:r w:rsidR="003A345C" w:rsidRPr="005800BE">
        <w:t xml:space="preserve">Некачествено извършените работи и некачествените материали и изделия ще се коригират и заменят за сметка на Изпълнителя, като гаранционните срокове трябва да бъдат не по-малки от предвидените в </w:t>
      </w:r>
      <w:r w:rsidR="003A345C" w:rsidRPr="005800BE">
        <w:rPr>
          <w:b/>
          <w:bCs/>
        </w:rPr>
        <w:t xml:space="preserve">Наредба № 2 от 31 юли 2003 г. за въвеждане в експлоатация на строежите в Република България и минимални гаранционни </w:t>
      </w:r>
    </w:p>
    <w:p w:rsidR="003A345C" w:rsidRPr="005800BE" w:rsidRDefault="003A345C" w:rsidP="005800BE">
      <w:pPr>
        <w:pStyle w:val="Default"/>
        <w:spacing w:after="57"/>
        <w:jc w:val="both"/>
      </w:pPr>
      <w:r w:rsidRPr="005800BE">
        <w:rPr>
          <w:b/>
          <w:bCs/>
        </w:rPr>
        <w:t xml:space="preserve">срокове за изпълнени строителни и монтажни работи, съоръжения и строителни обекти </w:t>
      </w:r>
      <w:r w:rsidRPr="005800BE">
        <w:t xml:space="preserve">- </w:t>
      </w:r>
      <w:r w:rsidRPr="005800BE">
        <w:rPr>
          <w:b/>
          <w:bCs/>
        </w:rPr>
        <w:t xml:space="preserve">минимум 5 /пет/ години/. </w:t>
      </w:r>
    </w:p>
    <w:p w:rsidR="003A345C" w:rsidRPr="005800BE" w:rsidRDefault="005800BE" w:rsidP="005800BE">
      <w:pPr>
        <w:pStyle w:val="Default"/>
        <w:spacing w:after="57"/>
        <w:jc w:val="both"/>
      </w:pPr>
      <w:r>
        <w:rPr>
          <w:b/>
          <w:bCs/>
          <w:iCs/>
        </w:rPr>
        <w:t>7</w:t>
      </w:r>
      <w:r w:rsidR="003A345C" w:rsidRPr="005800BE">
        <w:rPr>
          <w:b/>
          <w:bCs/>
          <w:iCs/>
        </w:rPr>
        <w:t xml:space="preserve">) </w:t>
      </w:r>
      <w:r w:rsidR="003A345C" w:rsidRPr="005800BE">
        <w:t xml:space="preserve">По време на изпълнението на работите Изпълнителят трябва да поддържа обекта чист и свободен от ненужни строителни съоръжения, отпадъци и материали, и да предаде на Възложителя работната площадка чиста и във вид, удовлетворяващ Възложителя. </w:t>
      </w:r>
    </w:p>
    <w:p w:rsidR="003A345C" w:rsidRPr="005800BE" w:rsidRDefault="005800BE" w:rsidP="005800BE">
      <w:pPr>
        <w:pStyle w:val="Default"/>
        <w:spacing w:after="57"/>
        <w:jc w:val="both"/>
      </w:pPr>
      <w:r>
        <w:rPr>
          <w:b/>
          <w:bCs/>
          <w:iCs/>
        </w:rPr>
        <w:t>8</w:t>
      </w:r>
      <w:r w:rsidR="003A345C" w:rsidRPr="005800BE">
        <w:rPr>
          <w:b/>
          <w:bCs/>
          <w:iCs/>
        </w:rPr>
        <w:t xml:space="preserve">) </w:t>
      </w:r>
      <w:r w:rsidR="003A345C" w:rsidRPr="005800BE">
        <w:t xml:space="preserve">Изпълнителят следва да пази от повреждане съществуващата инфраструктура и сгради по пътя към обекта. В случай на нанесени щети и повреди, се съставя двустранно подписан от Възложителя и Изпълнителя констативен протокол за тях, като Изпълнителя се задължава да ги отстрани за своя сметка. </w:t>
      </w:r>
    </w:p>
    <w:p w:rsidR="003A345C" w:rsidRPr="00D84460" w:rsidRDefault="005800BE" w:rsidP="005800BE">
      <w:pPr>
        <w:pStyle w:val="Default"/>
        <w:spacing w:after="57"/>
        <w:jc w:val="both"/>
      </w:pPr>
      <w:r>
        <w:rPr>
          <w:b/>
          <w:bCs/>
          <w:iCs/>
        </w:rPr>
        <w:t>9</w:t>
      </w:r>
      <w:r w:rsidR="003A345C" w:rsidRPr="005800BE">
        <w:rPr>
          <w:b/>
          <w:bCs/>
          <w:iCs/>
        </w:rPr>
        <w:t xml:space="preserve">) </w:t>
      </w:r>
      <w:r w:rsidR="003A345C" w:rsidRPr="005800BE">
        <w:t xml:space="preserve">Действително изпълнените СМР се актуват съгласно оферираните единични цени по видове дейности, посочени от Възложителя. За изпълнението на договора при необходимост са възможни за изпълнение и </w:t>
      </w:r>
      <w:r w:rsidR="003A345C" w:rsidRPr="005800BE">
        <w:rPr>
          <w:b/>
          <w:bCs/>
        </w:rPr>
        <w:t xml:space="preserve">непредвидени видове и количества </w:t>
      </w:r>
      <w:r w:rsidR="003A345C" w:rsidRPr="00D84460">
        <w:rPr>
          <w:b/>
          <w:bCs/>
        </w:rPr>
        <w:t>работи</w:t>
      </w:r>
      <w:r w:rsidR="003A345C" w:rsidRPr="00D84460">
        <w:t xml:space="preserve">, възникнали в процеса на изпълнение, които не са могли да бъдат предвидени по време на подготовката на конкурсната документация, които са определени като </w:t>
      </w:r>
      <w:r w:rsidR="003A345C" w:rsidRPr="00D84460">
        <w:rPr>
          <w:b/>
          <w:bCs/>
        </w:rPr>
        <w:t xml:space="preserve">10 % (десет на сто) от общата цена на договора </w:t>
      </w:r>
      <w:r w:rsidR="003A345C" w:rsidRPr="00D84460">
        <w:t xml:space="preserve">и са включени в общата цена. Същите ще се разплащат по единични цени, съставени по същите елементи на ценообразуване, както и основните строително-ремонтни работи, след съгласуване и одобрение от Възложителя. </w:t>
      </w:r>
    </w:p>
    <w:p w:rsidR="003A345C" w:rsidRPr="005800BE" w:rsidRDefault="005800BE" w:rsidP="005800BE">
      <w:pPr>
        <w:pStyle w:val="Default"/>
        <w:jc w:val="both"/>
      </w:pPr>
      <w:r w:rsidRPr="00D84460">
        <w:rPr>
          <w:b/>
          <w:bCs/>
          <w:iCs/>
        </w:rPr>
        <w:t>10</w:t>
      </w:r>
      <w:r w:rsidR="003A345C" w:rsidRPr="00D84460">
        <w:rPr>
          <w:b/>
          <w:bCs/>
          <w:iCs/>
        </w:rPr>
        <w:t xml:space="preserve">) </w:t>
      </w:r>
      <w:r w:rsidR="003A345C" w:rsidRPr="00D84460">
        <w:t>Да се изготви снимков материал на обекта преди започване, по време на и след приключване на СМР.</w:t>
      </w:r>
      <w:r w:rsidR="003A345C" w:rsidRPr="005800BE">
        <w:t xml:space="preserve"> </w:t>
      </w:r>
    </w:p>
    <w:p w:rsidR="00795267" w:rsidRDefault="00795267" w:rsidP="003A345C">
      <w:pPr>
        <w:pStyle w:val="Default"/>
        <w:rPr>
          <w:b/>
          <w:bCs/>
          <w:iCs/>
        </w:rPr>
      </w:pPr>
    </w:p>
    <w:p w:rsidR="00B769B0" w:rsidRDefault="003A345C" w:rsidP="00B23E3F">
      <w:pPr>
        <w:pStyle w:val="Default"/>
        <w:numPr>
          <w:ilvl w:val="0"/>
          <w:numId w:val="19"/>
        </w:numPr>
      </w:pPr>
      <w:r w:rsidRPr="00795267">
        <w:rPr>
          <w:b/>
          <w:bCs/>
          <w:iCs/>
        </w:rPr>
        <w:t xml:space="preserve">КОНТРОЛ И ПРИЕМАНЕ НА ИЗВЪРШЕНИТЕ СМР </w:t>
      </w:r>
    </w:p>
    <w:p w:rsidR="003A345C" w:rsidRPr="00795267" w:rsidRDefault="003A345C" w:rsidP="00795267">
      <w:pPr>
        <w:pStyle w:val="Default"/>
        <w:ind w:firstLine="708"/>
        <w:jc w:val="both"/>
      </w:pPr>
      <w:r w:rsidRPr="00795267">
        <w:t xml:space="preserve">Извършените СМР се приемат от компетентни упълномощени представители на Възложителя, изпълняващи длъжността „Инвеститорски контрол“ на обекта. Изготвят се </w:t>
      </w:r>
      <w:r w:rsidRPr="00795267">
        <w:lastRenderedPageBreak/>
        <w:t xml:space="preserve">необходимите актове и протоколи съгласно Наредба № 3/2003г. за съставяне на актове и протоколи по време на строителството, за действително извършените СМР. </w:t>
      </w:r>
    </w:p>
    <w:p w:rsidR="003A345C" w:rsidRPr="00795267" w:rsidRDefault="003A345C" w:rsidP="00795267">
      <w:pPr>
        <w:pStyle w:val="Default"/>
        <w:ind w:firstLine="708"/>
        <w:jc w:val="both"/>
      </w:pPr>
      <w:r w:rsidRPr="00795267">
        <w:t xml:space="preserve">Възложителят, чрез свои представители, ще осъществява непрекъснат контрол по време на изпълнението на видовете СМР и ще прави рекламации за некачествено извършените работи. </w:t>
      </w:r>
    </w:p>
    <w:p w:rsidR="003A345C" w:rsidRDefault="003A345C" w:rsidP="003A345C">
      <w:pPr>
        <w:pStyle w:val="Default"/>
        <w:rPr>
          <w:b/>
          <w:bCs/>
          <w:i/>
          <w:iCs/>
          <w:color w:val="FF0000"/>
          <w:sz w:val="23"/>
          <w:szCs w:val="23"/>
        </w:rPr>
      </w:pPr>
    </w:p>
    <w:p w:rsidR="00795267" w:rsidRDefault="00795267" w:rsidP="003A345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sz w:val="24"/>
          <w:szCs w:val="24"/>
        </w:rPr>
      </w:pPr>
    </w:p>
    <w:p w:rsidR="003A345C" w:rsidRDefault="003A345C" w:rsidP="003A345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5267">
        <w:rPr>
          <w:rFonts w:ascii="Times New Roman" w:hAnsi="Times New Roman" w:cs="Times New Roman"/>
          <w:i/>
          <w:sz w:val="24"/>
          <w:szCs w:val="24"/>
        </w:rPr>
        <w:t>Изготвил:</w:t>
      </w:r>
    </w:p>
    <w:p w:rsidR="00795267" w:rsidRPr="00ED05ED" w:rsidRDefault="00ED05ED" w:rsidP="003A345C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Инж. Ст. Лищева – гл. експерт „Конструкции“ Дирекция ИОС</w:t>
      </w:r>
    </w:p>
    <w:sectPr w:rsidR="00795267" w:rsidRPr="00ED0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16C7308"/>
    <w:multiLevelType w:val="hybridMultilevel"/>
    <w:tmpl w:val="8219FB0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45322FE"/>
    <w:multiLevelType w:val="hybridMultilevel"/>
    <w:tmpl w:val="4B2278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0B78386"/>
    <w:multiLevelType w:val="hybridMultilevel"/>
    <w:tmpl w:val="01B9B3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4D2598"/>
    <w:multiLevelType w:val="hybridMultilevel"/>
    <w:tmpl w:val="CF103E9A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252346B"/>
    <w:multiLevelType w:val="hybridMultilevel"/>
    <w:tmpl w:val="A2DE9E12"/>
    <w:lvl w:ilvl="0" w:tplc="C0F87C3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C815072"/>
    <w:multiLevelType w:val="hybridMultilevel"/>
    <w:tmpl w:val="33F4981A"/>
    <w:lvl w:ilvl="0" w:tplc="F148144E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530DDA4"/>
    <w:multiLevelType w:val="hybridMultilevel"/>
    <w:tmpl w:val="4663994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68913AE"/>
    <w:multiLevelType w:val="hybridMultilevel"/>
    <w:tmpl w:val="D16CDDA0"/>
    <w:lvl w:ilvl="0" w:tplc="8F0EB10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771564"/>
    <w:multiLevelType w:val="hybridMultilevel"/>
    <w:tmpl w:val="C1A0B334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FB87484"/>
    <w:multiLevelType w:val="hybridMultilevel"/>
    <w:tmpl w:val="7E7E0866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67D1D1B"/>
    <w:multiLevelType w:val="hybridMultilevel"/>
    <w:tmpl w:val="B430289C"/>
    <w:lvl w:ilvl="0" w:tplc="F000BC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9D02C98"/>
    <w:multiLevelType w:val="hybridMultilevel"/>
    <w:tmpl w:val="067C3AC8"/>
    <w:lvl w:ilvl="0" w:tplc="96584B6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BDB0088"/>
    <w:multiLevelType w:val="hybridMultilevel"/>
    <w:tmpl w:val="1638CFBE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3865E8D"/>
    <w:multiLevelType w:val="hybridMultilevel"/>
    <w:tmpl w:val="FD9E2158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70AA78BB"/>
    <w:multiLevelType w:val="hybridMultilevel"/>
    <w:tmpl w:val="FDAEB21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48C6C05"/>
    <w:multiLevelType w:val="hybridMultilevel"/>
    <w:tmpl w:val="7F46469A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75E1017B"/>
    <w:multiLevelType w:val="hybridMultilevel"/>
    <w:tmpl w:val="0B08726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7762BD5"/>
    <w:multiLevelType w:val="hybridMultilevel"/>
    <w:tmpl w:val="A264482A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B38573D"/>
    <w:multiLevelType w:val="hybridMultilevel"/>
    <w:tmpl w:val="2F56467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1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  <w:num w:numId="11">
    <w:abstractNumId w:val="9"/>
  </w:num>
  <w:num w:numId="12">
    <w:abstractNumId w:val="16"/>
  </w:num>
  <w:num w:numId="13">
    <w:abstractNumId w:val="12"/>
  </w:num>
  <w:num w:numId="14">
    <w:abstractNumId w:val="13"/>
  </w:num>
  <w:num w:numId="15">
    <w:abstractNumId w:val="17"/>
  </w:num>
  <w:num w:numId="16">
    <w:abstractNumId w:val="8"/>
  </w:num>
  <w:num w:numId="17">
    <w:abstractNumId w:val="11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A29"/>
    <w:rsid w:val="00081575"/>
    <w:rsid w:val="000A2D86"/>
    <w:rsid w:val="000A75FD"/>
    <w:rsid w:val="000C2C8A"/>
    <w:rsid w:val="00147E77"/>
    <w:rsid w:val="00175562"/>
    <w:rsid w:val="001B57DD"/>
    <w:rsid w:val="001C51CE"/>
    <w:rsid w:val="00235B7E"/>
    <w:rsid w:val="00266207"/>
    <w:rsid w:val="0029052D"/>
    <w:rsid w:val="002C5EE8"/>
    <w:rsid w:val="00377614"/>
    <w:rsid w:val="003808A6"/>
    <w:rsid w:val="00387EFD"/>
    <w:rsid w:val="003941A4"/>
    <w:rsid w:val="003A345C"/>
    <w:rsid w:val="003A5B8E"/>
    <w:rsid w:val="00480A29"/>
    <w:rsid w:val="004E61C7"/>
    <w:rsid w:val="004E6CEF"/>
    <w:rsid w:val="004E7151"/>
    <w:rsid w:val="005800BE"/>
    <w:rsid w:val="00581223"/>
    <w:rsid w:val="005E1ACD"/>
    <w:rsid w:val="006674C9"/>
    <w:rsid w:val="006C3B7F"/>
    <w:rsid w:val="006D0DDF"/>
    <w:rsid w:val="006E78F9"/>
    <w:rsid w:val="007774C6"/>
    <w:rsid w:val="00795267"/>
    <w:rsid w:val="00843E2D"/>
    <w:rsid w:val="008E27AD"/>
    <w:rsid w:val="009571CF"/>
    <w:rsid w:val="00994738"/>
    <w:rsid w:val="00B14F02"/>
    <w:rsid w:val="00B23E3F"/>
    <w:rsid w:val="00B63B20"/>
    <w:rsid w:val="00B769B0"/>
    <w:rsid w:val="00C15013"/>
    <w:rsid w:val="00C95103"/>
    <w:rsid w:val="00CB6847"/>
    <w:rsid w:val="00CD3809"/>
    <w:rsid w:val="00D055E6"/>
    <w:rsid w:val="00D77D48"/>
    <w:rsid w:val="00D84460"/>
    <w:rsid w:val="00DC59AE"/>
    <w:rsid w:val="00EB6F30"/>
    <w:rsid w:val="00EC1EEB"/>
    <w:rsid w:val="00ED05ED"/>
    <w:rsid w:val="00ED4DA1"/>
    <w:rsid w:val="00F56440"/>
    <w:rsid w:val="00FC143C"/>
    <w:rsid w:val="00FE286A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D7135-2033-42FA-9215-1106180A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5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D77D48"/>
    <w:pPr>
      <w:ind w:left="720"/>
      <w:contextualSpacing/>
    </w:pPr>
  </w:style>
  <w:style w:type="character" w:customStyle="1" w:styleId="a4">
    <w:name w:val="Списък на абзаци Знак"/>
    <w:aliases w:val="ПАРАГРАФ Знак"/>
    <w:link w:val="a3"/>
    <w:uiPriority w:val="34"/>
    <w:locked/>
    <w:rsid w:val="0029052D"/>
  </w:style>
  <w:style w:type="paragraph" w:customStyle="1" w:styleId="Default">
    <w:name w:val="Default"/>
    <w:rsid w:val="0039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57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57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2711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Станимира Лищева</dc:creator>
  <cp:keywords/>
  <dc:description/>
  <cp:lastModifiedBy>Маргарита Илиева</cp:lastModifiedBy>
  <cp:revision>2</cp:revision>
  <cp:lastPrinted>2020-05-08T11:19:00Z</cp:lastPrinted>
  <dcterms:created xsi:type="dcterms:W3CDTF">2020-06-05T11:55:00Z</dcterms:created>
  <dcterms:modified xsi:type="dcterms:W3CDTF">2020-06-05T11:55:00Z</dcterms:modified>
</cp:coreProperties>
</file>